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76E89" w14:textId="28FD7087" w:rsidR="002E3613" w:rsidRPr="002E3613" w:rsidRDefault="002E3613" w:rsidP="002E3613">
      <w:pPr>
        <w:shd w:val="clear" w:color="auto" w:fill="FFFFFF"/>
        <w:spacing w:after="0" w:line="240" w:lineRule="auto"/>
        <w:rPr>
          <w:rFonts w:ascii="Arial" w:eastAsia="Times New Roman" w:hAnsi="Arial" w:cs="Arial"/>
          <w:color w:val="222222"/>
          <w:sz w:val="24"/>
          <w:szCs w:val="24"/>
        </w:rPr>
      </w:pPr>
    </w:p>
    <w:p w14:paraId="5B583417"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xml:space="preserve">This is a </w:t>
      </w:r>
      <w:proofErr w:type="gramStart"/>
      <w:r w:rsidRPr="002E3613">
        <w:rPr>
          <w:rFonts w:ascii="Arial" w:eastAsia="Times New Roman" w:hAnsi="Arial" w:cs="Arial"/>
          <w:color w:val="222222"/>
          <w:sz w:val="24"/>
          <w:szCs w:val="24"/>
        </w:rPr>
        <w:t>10 acre</w:t>
      </w:r>
      <w:proofErr w:type="gramEnd"/>
      <w:r w:rsidRPr="002E3613">
        <w:rPr>
          <w:rFonts w:ascii="Arial" w:eastAsia="Times New Roman" w:hAnsi="Arial" w:cs="Arial"/>
          <w:color w:val="222222"/>
          <w:sz w:val="24"/>
          <w:szCs w:val="24"/>
        </w:rPr>
        <w:t xml:space="preserve"> parcel located in the Agricultural </w:t>
      </w:r>
      <w:r w:rsidRPr="002E3613">
        <w:rPr>
          <w:rFonts w:ascii="Arial" w:eastAsia="Times New Roman" w:hAnsi="Arial" w:cs="Arial"/>
          <w:color w:val="222222"/>
          <w:sz w:val="24"/>
          <w:szCs w:val="24"/>
          <w:u w:val="single"/>
        </w:rPr>
        <w:t>Zoning</w:t>
      </w:r>
      <w:r w:rsidRPr="002E3613">
        <w:rPr>
          <w:rFonts w:ascii="Arial" w:eastAsia="Times New Roman" w:hAnsi="Arial" w:cs="Arial"/>
          <w:color w:val="222222"/>
          <w:sz w:val="24"/>
          <w:szCs w:val="24"/>
        </w:rPr>
        <w:t> district.  Zoning districts are not the same as tax classification, but that is another topic.  There is a lot of information on our website, including contacts, for Zoning – Ordinances – setbacks, etc.</w:t>
      </w:r>
    </w:p>
    <w:p w14:paraId="61D34AA4"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hyperlink r:id="rId4" w:tgtFrame="_blank" w:history="1">
        <w:r w:rsidRPr="002E3613">
          <w:rPr>
            <w:rFonts w:ascii="Arial" w:eastAsia="Times New Roman" w:hAnsi="Arial" w:cs="Arial"/>
            <w:color w:val="1155CC"/>
            <w:sz w:val="24"/>
            <w:szCs w:val="24"/>
            <w:u w:val="single"/>
          </w:rPr>
          <w:t>https://www.co.mower.mn.us/216/Zoning-and-Land-Use</w:t>
        </w:r>
      </w:hyperlink>
    </w:p>
    <w:p w14:paraId="01E37230"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w:t>
      </w:r>
    </w:p>
    <w:p w14:paraId="0DA0518A"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xml:space="preserve">In the Agricultural </w:t>
      </w:r>
      <w:proofErr w:type="gramStart"/>
      <w:r w:rsidRPr="002E3613">
        <w:rPr>
          <w:rFonts w:ascii="Arial" w:eastAsia="Times New Roman" w:hAnsi="Arial" w:cs="Arial"/>
          <w:color w:val="222222"/>
          <w:sz w:val="24"/>
          <w:szCs w:val="24"/>
        </w:rPr>
        <w:t>district;</w:t>
      </w:r>
      <w:proofErr w:type="gramEnd"/>
    </w:p>
    <w:p w14:paraId="5A64D428"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u w:val="single"/>
        </w:rPr>
        <w:t>Density standard</w:t>
      </w:r>
      <w:r w:rsidRPr="002E3613">
        <w:rPr>
          <w:rFonts w:ascii="Arial" w:eastAsia="Times New Roman" w:hAnsi="Arial" w:cs="Arial"/>
          <w:color w:val="222222"/>
          <w:sz w:val="24"/>
          <w:szCs w:val="24"/>
        </w:rPr>
        <w:t xml:space="preserve"> is: one dwelling per quarter section.  There are two other dwellings already located in the NW quarter of section 13, the house on this property is the third.  For someone interested in building on this parcel, that’s important – a person has a right to build (re-build) if there is already a home on the property with a couple of caveats: 1) there can only be one dwelling per parcel, </w:t>
      </w:r>
      <w:proofErr w:type="spellStart"/>
      <w:proofErr w:type="gramStart"/>
      <w:r w:rsidRPr="002E3613">
        <w:rPr>
          <w:rFonts w:ascii="Arial" w:eastAsia="Times New Roman" w:hAnsi="Arial" w:cs="Arial"/>
          <w:color w:val="222222"/>
          <w:sz w:val="24"/>
          <w:szCs w:val="24"/>
        </w:rPr>
        <w:t>ie</w:t>
      </w:r>
      <w:proofErr w:type="spellEnd"/>
      <w:proofErr w:type="gramEnd"/>
      <w:r w:rsidRPr="002E3613">
        <w:rPr>
          <w:rFonts w:ascii="Arial" w:eastAsia="Times New Roman" w:hAnsi="Arial" w:cs="Arial"/>
          <w:color w:val="222222"/>
          <w:sz w:val="24"/>
          <w:szCs w:val="24"/>
        </w:rPr>
        <w:t xml:space="preserve"> the other house has to come down, 2) the new house has to be permitted for construction (</w:t>
      </w:r>
      <w:proofErr w:type="spellStart"/>
      <w:r w:rsidRPr="002E3613">
        <w:rPr>
          <w:rFonts w:ascii="Arial" w:eastAsia="Times New Roman" w:hAnsi="Arial" w:cs="Arial"/>
          <w:color w:val="222222"/>
          <w:sz w:val="24"/>
          <w:szCs w:val="24"/>
        </w:rPr>
        <w:t>ie</w:t>
      </w:r>
      <w:proofErr w:type="spellEnd"/>
      <w:r w:rsidRPr="002E3613">
        <w:rPr>
          <w:rFonts w:ascii="Arial" w:eastAsia="Times New Roman" w:hAnsi="Arial" w:cs="Arial"/>
          <w:color w:val="222222"/>
          <w:sz w:val="24"/>
          <w:szCs w:val="24"/>
        </w:rPr>
        <w:t xml:space="preserve">. zoning permit obtained) within 12 months of the old one being torn down or the right to re-establish is lost, and 3) the owner needs to have a licensed septic professional establish where the primary and secondary septic system sites will be </w:t>
      </w:r>
      <w:proofErr w:type="gramStart"/>
      <w:r w:rsidRPr="002E3613">
        <w:rPr>
          <w:rFonts w:ascii="Arial" w:eastAsia="Times New Roman" w:hAnsi="Arial" w:cs="Arial"/>
          <w:color w:val="222222"/>
          <w:sz w:val="24"/>
          <w:szCs w:val="24"/>
        </w:rPr>
        <w:t>in order to</w:t>
      </w:r>
      <w:proofErr w:type="gramEnd"/>
      <w:r w:rsidRPr="002E3613">
        <w:rPr>
          <w:rFonts w:ascii="Arial" w:eastAsia="Times New Roman" w:hAnsi="Arial" w:cs="Arial"/>
          <w:color w:val="222222"/>
          <w:sz w:val="24"/>
          <w:szCs w:val="24"/>
        </w:rPr>
        <w:t xml:space="preserve"> demonstrate the lot is sustainable for residential use.</w:t>
      </w:r>
    </w:p>
    <w:p w14:paraId="692BD5C6"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w:t>
      </w:r>
    </w:p>
    <w:p w14:paraId="51B50590"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u w:val="single"/>
        </w:rPr>
        <w:t>Setbacks</w:t>
      </w:r>
      <w:r w:rsidRPr="002E3613">
        <w:rPr>
          <w:rFonts w:ascii="Arial" w:eastAsia="Times New Roman" w:hAnsi="Arial" w:cs="Arial"/>
          <w:color w:val="222222"/>
          <w:sz w:val="24"/>
          <w:szCs w:val="24"/>
        </w:rPr>
        <w:t> </w:t>
      </w:r>
      <w:proofErr w:type="gramStart"/>
      <w:r w:rsidRPr="002E3613">
        <w:rPr>
          <w:rFonts w:ascii="Arial" w:eastAsia="Times New Roman" w:hAnsi="Arial" w:cs="Arial"/>
          <w:color w:val="222222"/>
          <w:sz w:val="24"/>
          <w:szCs w:val="24"/>
        </w:rPr>
        <w:t>are:</w:t>
      </w:r>
      <w:proofErr w:type="gramEnd"/>
      <w:r w:rsidRPr="002E3613">
        <w:rPr>
          <w:rFonts w:ascii="Arial" w:eastAsia="Times New Roman" w:hAnsi="Arial" w:cs="Arial"/>
          <w:color w:val="222222"/>
          <w:sz w:val="24"/>
          <w:szCs w:val="24"/>
        </w:rPr>
        <w:t xml:space="preserve"> for structures to be constructed – 40 feet from front yard, 20 feet from side and rear yards.  Setbacks are also described in the Ag Zoning section.  There are also considerations for well setbacks and septic tank and septic drain field setbacks, more information here: </w:t>
      </w:r>
      <w:hyperlink r:id="rId5" w:tgtFrame="_blank" w:history="1">
        <w:r w:rsidRPr="002E3613">
          <w:rPr>
            <w:rFonts w:ascii="Arial" w:eastAsia="Times New Roman" w:hAnsi="Arial" w:cs="Arial"/>
            <w:color w:val="1155CC"/>
            <w:sz w:val="24"/>
            <w:szCs w:val="24"/>
            <w:u w:val="single"/>
          </w:rPr>
          <w:t>http://health.state.mn.us/communities/environment/water/wells/construction/isolate.html</w:t>
        </w:r>
      </w:hyperlink>
    </w:p>
    <w:p w14:paraId="28A35016"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Your septic professional will help you to properly situate the proposed system.  Where do I find a septic professional, you ask?  Right here: </w:t>
      </w:r>
      <w:hyperlink r:id="rId6" w:tgtFrame="_blank" w:history="1">
        <w:r w:rsidRPr="002E3613">
          <w:rPr>
            <w:rFonts w:ascii="Arial" w:eastAsia="Times New Roman" w:hAnsi="Arial" w:cs="Arial"/>
            <w:color w:val="1155CC"/>
            <w:sz w:val="24"/>
            <w:szCs w:val="24"/>
            <w:u w:val="single"/>
          </w:rPr>
          <w:t>https://webapp.pca.state.mn.us/ssts/business-search</w:t>
        </w:r>
      </w:hyperlink>
    </w:p>
    <w:p w14:paraId="1C442F9D"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Or on our website, there is a listing of local professionals: </w:t>
      </w:r>
      <w:hyperlink r:id="rId7" w:tgtFrame="_blank" w:history="1">
        <w:r w:rsidRPr="002E3613">
          <w:rPr>
            <w:rFonts w:ascii="Arial" w:eastAsia="Times New Roman" w:hAnsi="Arial" w:cs="Arial"/>
            <w:color w:val="1155CC"/>
            <w:sz w:val="24"/>
            <w:szCs w:val="24"/>
            <w:u w:val="single"/>
          </w:rPr>
          <w:t>https://www.co.mower.mn.us/486/Septic-Systems</w:t>
        </w:r>
      </w:hyperlink>
    </w:p>
    <w:p w14:paraId="7EE368C8"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**Please note**: compliance inspections are </w:t>
      </w:r>
      <w:r w:rsidRPr="002E3613">
        <w:rPr>
          <w:rFonts w:ascii="Arial" w:eastAsia="Times New Roman" w:hAnsi="Arial" w:cs="Arial"/>
          <w:color w:val="222222"/>
          <w:sz w:val="24"/>
          <w:szCs w:val="24"/>
          <w:u w:val="single"/>
        </w:rPr>
        <w:t>required</w:t>
      </w:r>
      <w:r w:rsidRPr="002E3613">
        <w:rPr>
          <w:rFonts w:ascii="Arial" w:eastAsia="Times New Roman" w:hAnsi="Arial" w:cs="Arial"/>
          <w:color w:val="222222"/>
          <w:sz w:val="24"/>
          <w:szCs w:val="24"/>
        </w:rPr>
        <w:t xml:space="preserve"> at the time of transfer of property, </w:t>
      </w:r>
      <w:proofErr w:type="spellStart"/>
      <w:r w:rsidRPr="002E3613">
        <w:rPr>
          <w:rFonts w:ascii="Arial" w:eastAsia="Times New Roman" w:hAnsi="Arial" w:cs="Arial"/>
          <w:color w:val="222222"/>
          <w:sz w:val="24"/>
          <w:szCs w:val="24"/>
        </w:rPr>
        <w:t>ie</w:t>
      </w:r>
      <w:proofErr w:type="spellEnd"/>
      <w:r w:rsidRPr="002E3613">
        <w:rPr>
          <w:rFonts w:ascii="Arial" w:eastAsia="Times New Roman" w:hAnsi="Arial" w:cs="Arial"/>
          <w:color w:val="222222"/>
          <w:sz w:val="24"/>
          <w:szCs w:val="24"/>
        </w:rPr>
        <w:t>. at closing.  Without a compliance inspection, an escrow account is required to cover the cost of a new system.   A person can forego an inspection if they are willing to call the system failing, which will place it on a 10-month schedule to abandon or replace. </w:t>
      </w:r>
    </w:p>
    <w:p w14:paraId="7537BD2F"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w:t>
      </w:r>
    </w:p>
    <w:p w14:paraId="7661B014"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u w:val="single"/>
        </w:rPr>
        <w:t>Land uses</w:t>
      </w:r>
      <w:r w:rsidRPr="002E3613">
        <w:rPr>
          <w:rFonts w:ascii="Arial" w:eastAsia="Times New Roman" w:hAnsi="Arial" w:cs="Arial"/>
          <w:color w:val="222222"/>
          <w:sz w:val="24"/>
          <w:szCs w:val="24"/>
        </w:rPr>
        <w:t>:</w:t>
      </w:r>
    </w:p>
    <w:p w14:paraId="1CACE0C9"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xml:space="preserve">Permitted or Allowed uses </w:t>
      </w:r>
      <w:proofErr w:type="gramStart"/>
      <w:r w:rsidRPr="002E3613">
        <w:rPr>
          <w:rFonts w:ascii="Arial" w:eastAsia="Times New Roman" w:hAnsi="Arial" w:cs="Arial"/>
          <w:color w:val="222222"/>
          <w:sz w:val="24"/>
          <w:szCs w:val="24"/>
        </w:rPr>
        <w:t>include:</w:t>
      </w:r>
      <w:proofErr w:type="gramEnd"/>
      <w:r w:rsidRPr="002E3613">
        <w:rPr>
          <w:rFonts w:ascii="Arial" w:eastAsia="Times New Roman" w:hAnsi="Arial" w:cs="Arial"/>
          <w:color w:val="222222"/>
          <w:sz w:val="24"/>
          <w:szCs w:val="24"/>
        </w:rPr>
        <w:t xml:space="preserve"> agricultural use, conservation areas, home occupation business, and dwellings.  Other uses are “conditional”, meaning they require a Conditional Use Permit, such as commercial recreation, horse stables, campgrounds, alcohol stills, mini storage, mining, etc.</w:t>
      </w:r>
    </w:p>
    <w:p w14:paraId="2F3839B1"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For a full listing of land uses, please see ordinance – Ag uses start on page 79: </w:t>
      </w:r>
      <w:hyperlink r:id="rId8" w:tgtFrame="_blank" w:history="1">
        <w:r w:rsidRPr="002E3613">
          <w:rPr>
            <w:rFonts w:ascii="Arial" w:eastAsia="Times New Roman" w:hAnsi="Arial" w:cs="Arial"/>
            <w:color w:val="1155CC"/>
            <w:sz w:val="24"/>
            <w:szCs w:val="24"/>
            <w:u w:val="single"/>
          </w:rPr>
          <w:t>https://www.co.mower.mn.us/DocumentCenter/View/1168/Mower-County-Zoning-Ordinance-PDF</w:t>
        </w:r>
      </w:hyperlink>
    </w:p>
    <w:p w14:paraId="1B09F765"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xml:space="preserve">Feedlots are an allowed use the Agricultural district, however, they </w:t>
      </w:r>
      <w:proofErr w:type="gramStart"/>
      <w:r w:rsidRPr="002E3613">
        <w:rPr>
          <w:rFonts w:ascii="Arial" w:eastAsia="Times New Roman" w:hAnsi="Arial" w:cs="Arial"/>
          <w:color w:val="222222"/>
          <w:sz w:val="24"/>
          <w:szCs w:val="24"/>
        </w:rPr>
        <w:t>have to</w:t>
      </w:r>
      <w:proofErr w:type="gramEnd"/>
      <w:r w:rsidRPr="002E3613">
        <w:rPr>
          <w:rFonts w:ascii="Arial" w:eastAsia="Times New Roman" w:hAnsi="Arial" w:cs="Arial"/>
          <w:color w:val="222222"/>
          <w:sz w:val="24"/>
          <w:szCs w:val="24"/>
        </w:rPr>
        <w:t xml:space="preserve"> be located 1000 feet from any residence (except the owners), so – the proximity of the residence across the road to the west basically restricts this parcel from obtaining a feedlot permit.  A person can keep horses, a few cattle, “hobby farm” animals, so long as there </w:t>
      </w:r>
      <w:r w:rsidRPr="002E3613">
        <w:rPr>
          <w:rFonts w:ascii="Arial" w:eastAsia="Times New Roman" w:hAnsi="Arial" w:cs="Arial"/>
          <w:color w:val="222222"/>
          <w:sz w:val="24"/>
          <w:szCs w:val="24"/>
        </w:rPr>
        <w:lastRenderedPageBreak/>
        <w:t xml:space="preserve">is less than 10 animal </w:t>
      </w:r>
      <w:proofErr w:type="gramStart"/>
      <w:r w:rsidRPr="002E3613">
        <w:rPr>
          <w:rFonts w:ascii="Arial" w:eastAsia="Times New Roman" w:hAnsi="Arial" w:cs="Arial"/>
          <w:color w:val="222222"/>
          <w:sz w:val="24"/>
          <w:szCs w:val="24"/>
        </w:rPr>
        <w:t>units</w:t>
      </w:r>
      <w:proofErr w:type="gramEnd"/>
      <w:r w:rsidRPr="002E3613">
        <w:rPr>
          <w:rFonts w:ascii="Arial" w:eastAsia="Times New Roman" w:hAnsi="Arial" w:cs="Arial"/>
          <w:color w:val="222222"/>
          <w:sz w:val="24"/>
          <w:szCs w:val="24"/>
        </w:rPr>
        <w:t xml:space="preserve"> and no open lots are established (where vegetation cannot be maintained).  Specific rules regarding Feedlots are in the ordinance on page 42 (section 14-18.2). </w:t>
      </w:r>
    </w:p>
    <w:p w14:paraId="6864AB17"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w:t>
      </w:r>
    </w:p>
    <w:p w14:paraId="7904838B"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xml:space="preserve">This is not meant to be an all-inclusive, every situation covered list of considerations, rather is a guide – a starting point for interested parties.  Further, these are the standards as they are today; they are subject change if there is an ordinance revision.  Please direct people to contact Angie or myself with specific questions.  Angie is </w:t>
      </w:r>
      <w:proofErr w:type="spellStart"/>
      <w:r w:rsidRPr="002E3613">
        <w:rPr>
          <w:rFonts w:ascii="Arial" w:eastAsia="Times New Roman" w:hAnsi="Arial" w:cs="Arial"/>
          <w:color w:val="222222"/>
          <w:sz w:val="24"/>
          <w:szCs w:val="24"/>
        </w:rPr>
        <w:t>CC’d</w:t>
      </w:r>
      <w:proofErr w:type="spellEnd"/>
      <w:r w:rsidRPr="002E3613">
        <w:rPr>
          <w:rFonts w:ascii="Arial" w:eastAsia="Times New Roman" w:hAnsi="Arial" w:cs="Arial"/>
          <w:color w:val="222222"/>
          <w:sz w:val="24"/>
          <w:szCs w:val="24"/>
        </w:rPr>
        <w:t xml:space="preserve"> on the email – if there is something I’m missing. </w:t>
      </w:r>
    </w:p>
    <w:p w14:paraId="3D3764CE"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222222"/>
          <w:sz w:val="24"/>
          <w:szCs w:val="24"/>
        </w:rPr>
        <w:t> </w:t>
      </w:r>
    </w:p>
    <w:p w14:paraId="11230FAD"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b/>
          <w:bCs/>
          <w:color w:val="0F243E"/>
          <w:sz w:val="21"/>
          <w:szCs w:val="21"/>
        </w:rPr>
        <w:t>Valerie Sheedy, P.G.</w:t>
      </w:r>
    </w:p>
    <w:p w14:paraId="091D155A"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b/>
          <w:bCs/>
          <w:i/>
          <w:iCs/>
          <w:color w:val="76923C"/>
          <w:sz w:val="20"/>
          <w:szCs w:val="20"/>
        </w:rPr>
        <w:t>Asst. Supervisor, Environmental Services</w:t>
      </w:r>
    </w:p>
    <w:p w14:paraId="3BC8C555"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0F243E"/>
          <w:sz w:val="19"/>
          <w:szCs w:val="19"/>
        </w:rPr>
        <w:t>Mower County Public Works</w:t>
      </w:r>
    </w:p>
    <w:p w14:paraId="20472B18"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0F243E"/>
          <w:sz w:val="19"/>
          <w:szCs w:val="19"/>
        </w:rPr>
        <w:t>1105 8</w:t>
      </w:r>
      <w:r w:rsidRPr="002E3613">
        <w:rPr>
          <w:rFonts w:ascii="Arial" w:eastAsia="Times New Roman" w:hAnsi="Arial" w:cs="Arial"/>
          <w:color w:val="0F243E"/>
          <w:sz w:val="19"/>
          <w:szCs w:val="19"/>
          <w:vertAlign w:val="superscript"/>
        </w:rPr>
        <w:t>th</w:t>
      </w:r>
      <w:r w:rsidRPr="002E3613">
        <w:rPr>
          <w:rFonts w:ascii="Arial" w:eastAsia="Times New Roman" w:hAnsi="Arial" w:cs="Arial"/>
          <w:color w:val="0F243E"/>
          <w:sz w:val="19"/>
          <w:szCs w:val="19"/>
        </w:rPr>
        <w:t> Ave NE | Austin, MN 55912</w:t>
      </w:r>
    </w:p>
    <w:p w14:paraId="654CE9B2"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0F243E"/>
          <w:sz w:val="19"/>
          <w:szCs w:val="19"/>
        </w:rPr>
        <w:t>Direct: 507-434-2639</w:t>
      </w:r>
    </w:p>
    <w:p w14:paraId="52AE316C" w14:textId="77777777" w:rsidR="002E3613" w:rsidRPr="002E3613" w:rsidRDefault="002E3613" w:rsidP="002E3613">
      <w:pPr>
        <w:shd w:val="clear" w:color="auto" w:fill="FFFFFF"/>
        <w:spacing w:after="0" w:line="240" w:lineRule="auto"/>
        <w:rPr>
          <w:rFonts w:ascii="Arial" w:eastAsia="Times New Roman" w:hAnsi="Arial" w:cs="Arial"/>
          <w:color w:val="222222"/>
          <w:sz w:val="24"/>
          <w:szCs w:val="24"/>
        </w:rPr>
      </w:pPr>
      <w:r w:rsidRPr="002E3613">
        <w:rPr>
          <w:rFonts w:ascii="Arial" w:eastAsia="Times New Roman" w:hAnsi="Arial" w:cs="Arial"/>
          <w:color w:val="0F243E"/>
          <w:sz w:val="19"/>
          <w:szCs w:val="19"/>
        </w:rPr>
        <w:t>Mobile: 507-460-9127</w:t>
      </w:r>
    </w:p>
    <w:p w14:paraId="41E78F21" w14:textId="77777777" w:rsidR="0082012C" w:rsidRDefault="0082012C"/>
    <w:sectPr w:rsidR="008201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613"/>
    <w:rsid w:val="001A45C0"/>
    <w:rsid w:val="002E3613"/>
    <w:rsid w:val="0082012C"/>
    <w:rsid w:val="00A84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E9BA6"/>
  <w15:chartTrackingRefBased/>
  <w15:docId w15:val="{84B7D76D-A688-4053-BF11-3491C3E49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0697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mower.mn.us/DocumentCenter/View/1168/Mower-County-Zoning-Ordinance-PDF" TargetMode="External"/><Relationship Id="rId3" Type="http://schemas.openxmlformats.org/officeDocument/2006/relationships/webSettings" Target="webSettings.xml"/><Relationship Id="rId7" Type="http://schemas.openxmlformats.org/officeDocument/2006/relationships/hyperlink" Target="https://www.co.mower.mn.us/486/Septic-Syste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ebapp.pca.state.mn.us/ssts/business-search" TargetMode="External"/><Relationship Id="rId5" Type="http://schemas.openxmlformats.org/officeDocument/2006/relationships/hyperlink" Target="http://health.state.mn.us/communities/environment/water/wells/construction/isolate.html" TargetMode="External"/><Relationship Id="rId10" Type="http://schemas.openxmlformats.org/officeDocument/2006/relationships/theme" Target="theme/theme1.xml"/><Relationship Id="rId4" Type="http://schemas.openxmlformats.org/officeDocument/2006/relationships/hyperlink" Target="https://www.co.mower.mn.us/216/Zoning-and-Land-Use"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632</Words>
  <Characters>3604</Characters>
  <Application>Microsoft Office Word</Application>
  <DocSecurity>0</DocSecurity>
  <Lines>30</Lines>
  <Paragraphs>8</Paragraphs>
  <ScaleCrop>false</ScaleCrop>
  <Company/>
  <LinksUpToDate>false</LinksUpToDate>
  <CharactersWithSpaces>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Gordon</dc:creator>
  <cp:keywords/>
  <dc:description/>
  <cp:lastModifiedBy>Kris Gordon</cp:lastModifiedBy>
  <cp:revision>1</cp:revision>
  <dcterms:created xsi:type="dcterms:W3CDTF">2021-08-27T15:23:00Z</dcterms:created>
  <dcterms:modified xsi:type="dcterms:W3CDTF">2021-08-27T15:24:00Z</dcterms:modified>
</cp:coreProperties>
</file>